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0" w:lineRule="auto" w:before="0"/>
        <w:ind w:firstLine="0" w:left="0" w:right="0"/>
        <w:jc w:val="center"/>
      </w:pPr>
      <w:r w:rsidDel="00000000" w:rsidR="00000000" w:rsidRPr="00000000">
        <w:rPr>
          <w:b w:val="1"/>
          <w:color w:val="ff0000"/>
          <w:sz w:val="48"/>
          <w:highlight w:val="none"/>
          <w:u w:val="single"/>
          <w:rtl w:val="0"/>
        </w:rPr>
        <w:t xml:space="preserve">SMS Marketing Carrier Compliance Best Practices</w:t>
      </w:r>
      <w:r w:rsidDel="00000000" w:rsidR="00000000" w:rsidRPr="00000000">
        <w:rPr>
          <w:rtl w:val="0"/>
        </w:rPr>
      </w:r>
    </w:p>
    <w:p w:rsidDel="00000000" w:rsidRDefault="00000000" w:rsidR="00000000" w:rsidRPr="00000000" w:rsidP="00000000">
      <w:pPr>
        <w:spacing w:line="276" w:after="0" w:lineRule="auto" w:before="0"/>
        <w:ind w:firstLine="0" w:left="0" w:right="0"/>
      </w:pPr>
      <w:r w:rsidDel="00000000" w:rsidR="00000000" w:rsidRPr="00000000">
        <w:rPr>
          <w:b w:val="1"/>
          <w:sz w:val="28"/>
          <w:highlight w:val="none"/>
          <w:rtl w:val="0"/>
        </w:rPr>
        <w:t xml:space="preserve">Mandatory Guidelines for Mobile Marketers and White Label Platform Users </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highlight w:val="none"/>
          <w:rtl w:val="0"/>
        </w:rPr>
        <w:t xml:space="preserve">All website/blog pages including social networking sites like facebook, Twitter, foursquare,Google Plus and even MySpace; this also includes YouTube, Vimeo or any video sharing site with video descriptions or titles displaying advertisements or call to actions asking a person to text a keyword to a short code must be compliant by following these guidelines.</w:t>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highlight w:val="none"/>
          <w:rtl w:val="0"/>
        </w:rPr>
        <w:t xml:space="preserve">Any website or online presence as described above displaying a text call to action (i.e. text ANCHOR to 94932) must display the following:</w:t>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b w:val="1"/>
          <w:highlight w:val="none"/>
          <w:rtl w:val="0"/>
        </w:rPr>
        <w:t xml:space="preserve">Online Privacy Policy Link and Terms of Service link</w:t>
      </w:r>
    </w:p>
    <w:p w:rsidDel="00000000" w:rsidRDefault="00000000" w:rsidR="00000000" w:rsidRPr="00000000" w:rsidP="00000000">
      <w:pPr>
        <w:spacing w:line="276" w:after="0" w:lineRule="auto" w:before="0"/>
        <w:ind w:firstLine="0" w:left="0" w:right="0"/>
        <w:jc w:val="both"/>
      </w:pPr>
      <w:r w:rsidDel="00000000" w:rsidR="00000000" w:rsidRPr="00000000">
        <w:rPr>
          <w:i w:val="1"/>
          <w:highlight w:val="none"/>
          <w:rtl w:val="0"/>
        </w:rPr>
        <w:t xml:space="preserve">A new page on your website will need to be created displaying the information below. There is a link in the third bullet giving you an example of what one of Anchor’s pages looks like. This link will need to be displayed on all pages containing a text call to action. This must be displayed above the fold based upon a screen resolution of 1024x768 to be compliant with new standards.</w:t>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numPr>
          <w:ilvl w:val="0"/>
          <w:numId w:val="2"/>
        </w:numPr>
        <w:spacing w:line="276" w:after="0" w:lineRule="auto" w:before="0"/>
        <w:ind w:hanging="360" w:left="720" w:right="0"/>
        <w:jc w:val="both"/>
      </w:pPr>
      <w:r w:rsidDel="00000000" w:rsidR="00000000" w:rsidRPr="00000000">
        <w:rPr>
          <w:b w:val="1"/>
          <w:highlight w:val="none"/>
          <w:rtl w:val="0"/>
        </w:rPr>
        <w:t xml:space="preserve">Privacy Policy:</w:t>
      </w:r>
      <w:r w:rsidDel="00000000" w:rsidR="00000000" w:rsidRPr="00000000">
        <w:rPr>
          <w:rtl w:val="0"/>
        </w:rPr>
      </w:r>
    </w:p>
    <w:p w:rsidDel="00000000" w:rsidRDefault="00000000" w:rsidR="00000000" w:rsidRPr="00000000" w:rsidP="00000000">
      <w:pPr>
        <w:numPr>
          <w:ilvl w:val="1"/>
          <w:numId w:val="2"/>
        </w:numPr>
        <w:spacing w:line="276" w:after="0" w:lineRule="auto" w:before="0"/>
        <w:ind w:hanging="360" w:left="1440" w:right="0"/>
        <w:jc w:val="both"/>
      </w:pPr>
      <w:r w:rsidDel="00000000" w:rsidR="00000000" w:rsidRPr="00000000">
        <w:rPr>
          <w:highlight w:val="none"/>
          <w:rtl w:val="0"/>
        </w:rPr>
        <w:t xml:space="preserve">PRIVACY POLICY: </w:t>
      </w:r>
      <w:r w:rsidDel="00000000" w:rsidR="00000000" w:rsidRPr="00000000">
        <w:rPr>
          <w:color w:val="ff0000"/>
          <w:highlight w:val="none"/>
          <w:rtl w:val="0"/>
        </w:rPr>
        <w:t xml:space="preserve">White Label URL here</w:t>
      </w:r>
      <w:r w:rsidDel="00000000" w:rsidR="00000000" w:rsidRPr="00000000">
        <w:rPr>
          <w:highlight w:val="none"/>
          <w:rtl w:val="0"/>
        </w:rPr>
        <w:t xml:space="preserve"> and its affiliates are committed to protecting you and your family's privacy when you visit any of our Websites. We do not knowingly collect and keep any of your personal information unless you volunteer it and are 13 years of age or older. In addition, we do not knowingly collect and keep personal information from children under the age of 13 without parental consent. </w:t>
      </w:r>
    </w:p>
    <w:p w:rsidDel="00000000" w:rsidRDefault="00000000" w:rsidR="00000000" w:rsidRPr="00000000" w:rsidP="00000000">
      <w:pPr>
        <w:numPr>
          <w:ilvl w:val="0"/>
          <w:numId w:val="2"/>
        </w:numPr>
        <w:spacing w:line="276" w:after="0" w:lineRule="auto" w:before="0"/>
        <w:ind w:hanging="360" w:left="720" w:right="0"/>
        <w:jc w:val="both"/>
      </w:pPr>
      <w:r w:rsidDel="00000000" w:rsidR="00000000" w:rsidRPr="00000000">
        <w:rPr>
          <w:b w:val="1"/>
          <w:highlight w:val="none"/>
          <w:rtl w:val="0"/>
        </w:rPr>
        <w:t xml:space="preserve">Terms of Service:</w:t>
      </w:r>
      <w:r w:rsidDel="00000000" w:rsidR="00000000" w:rsidRPr="00000000">
        <w:rPr>
          <w:rtl w:val="0"/>
        </w:rPr>
      </w:r>
    </w:p>
    <w:p w:rsidDel="00000000" w:rsidRDefault="00000000" w:rsidR="00000000" w:rsidRPr="00000000" w:rsidP="00000000">
      <w:pPr>
        <w:numPr>
          <w:ilvl w:val="1"/>
          <w:numId w:val="2"/>
        </w:numPr>
        <w:spacing w:line="276" w:after="0" w:lineRule="auto" w:before="0"/>
        <w:ind w:hanging="360" w:left="1440" w:right="0"/>
        <w:jc w:val="both"/>
      </w:pPr>
      <w:r w:rsidDel="00000000" w:rsidR="00000000" w:rsidRPr="00000000">
        <w:rPr>
          <w:highlight w:val="none"/>
          <w:rtl w:val="0"/>
        </w:rPr>
        <w:t xml:space="preserve">Operator fees may apply for receiving text messages. We do not reverse-bill the recipient of the text messages. You must be 18 years or older or have permission from a parent/guardian to participate in any campaign. </w:t>
      </w:r>
      <w:r w:rsidDel="00000000" w:rsidR="00000000" w:rsidRPr="00000000">
        <w:rPr>
          <w:color w:val="ff0000"/>
          <w:highlight w:val="none"/>
          <w:rtl w:val="0"/>
        </w:rPr>
        <w:t xml:space="preserve">White Label URL here </w:t>
      </w:r>
      <w:r w:rsidDel="00000000" w:rsidR="00000000" w:rsidRPr="00000000">
        <w:rPr>
          <w:highlight w:val="none"/>
          <w:rtl w:val="0"/>
        </w:rPr>
        <w:t xml:space="preserve">solely provides marketing services for participating companies and takes no legal or any other responsibility for services and promotions offered or messages sent to customers. MSG&amp;Data rates may apply. Text STOP to </w:t>
      </w:r>
      <w:r w:rsidDel="00000000" w:rsidR="00000000" w:rsidRPr="00000000">
        <w:rPr>
          <w:color w:val="ff0000"/>
          <w:highlight w:val="none"/>
          <w:rtl w:val="0"/>
        </w:rPr>
        <w:t xml:space="preserve">SC# HERE</w:t>
      </w:r>
      <w:r w:rsidDel="00000000" w:rsidR="00000000" w:rsidRPr="00000000">
        <w:rPr>
          <w:highlight w:val="none"/>
          <w:rtl w:val="0"/>
        </w:rPr>
        <w:t xml:space="preserve"> to be removed from any marketing list and end subscription. Text HELP to </w:t>
      </w:r>
      <w:r w:rsidDel="00000000" w:rsidR="00000000" w:rsidRPr="00000000">
        <w:rPr>
          <w:color w:val="ff0000"/>
          <w:highlight w:val="none"/>
          <w:rtl w:val="0"/>
        </w:rPr>
        <w:t xml:space="preserve">SC# HERE </w:t>
      </w:r>
      <w:r w:rsidDel="00000000" w:rsidR="00000000" w:rsidRPr="00000000">
        <w:rPr>
          <w:highlight w:val="none"/>
          <w:rtl w:val="0"/>
        </w:rPr>
        <w:t xml:space="preserve">for help, send email to </w:t>
      </w:r>
      <w:r w:rsidDel="00000000" w:rsidR="00000000" w:rsidRPr="00000000">
        <w:rPr>
          <w:color w:val="ff0000"/>
          <w:highlight w:val="none"/>
          <w:rtl w:val="0"/>
        </w:rPr>
        <w:t xml:space="preserve">White Label Support Email Here</w:t>
      </w:r>
      <w:r w:rsidDel="00000000" w:rsidR="00000000" w:rsidRPr="00000000">
        <w:rPr>
          <w:highlight w:val="none"/>
          <w:rtl w:val="0"/>
        </w:rPr>
        <w:t xml:space="preserve"> or call </w:t>
      </w:r>
      <w:r w:rsidDel="00000000" w:rsidR="00000000" w:rsidRPr="00000000">
        <w:rPr>
          <w:color w:val="ff0000"/>
          <w:highlight w:val="none"/>
          <w:rtl w:val="0"/>
        </w:rPr>
        <w:t xml:space="preserve">White Label Support TOLL FREE # Here</w:t>
      </w:r>
      <w:r w:rsidDel="00000000" w:rsidR="00000000" w:rsidRPr="00000000">
        <w:rPr>
          <w:rtl w:val="0"/>
        </w:rPr>
      </w:r>
    </w:p>
    <w:p w:rsidDel="00000000" w:rsidRDefault="00000000" w:rsidR="00000000" w:rsidRPr="00000000" w:rsidP="00000000">
      <w:pPr>
        <w:numPr>
          <w:ilvl w:val="0"/>
          <w:numId w:val="2"/>
        </w:numPr>
        <w:spacing w:line="276" w:after="0" w:lineRule="auto" w:before="0"/>
        <w:ind w:hanging="360" w:left="720" w:right="0"/>
        <w:jc w:val="both"/>
      </w:pPr>
      <w:r w:rsidDel="00000000" w:rsidR="00000000" w:rsidRPr="00000000">
        <w:rPr>
          <w:highlight w:val="none"/>
          <w:rtl w:val="0"/>
        </w:rPr>
        <w:t xml:space="preserve">This is an example of one of our privacy policy and TOS pages: </w:t>
      </w:r>
    </w:p>
    <w:p w:rsidDel="00000000" w:rsidRDefault="00000000" w:rsidR="00000000" w:rsidRPr="00000000" w:rsidP="00000000">
      <w:pPr>
        <w:numPr>
          <w:ilvl w:val="1"/>
          <w:numId w:val="2"/>
        </w:numPr>
        <w:spacing w:line="276" w:after="0" w:lineRule="auto" w:before="0"/>
        <w:ind w:hanging="360" w:left="1440" w:right="0"/>
        <w:jc w:val="both"/>
      </w:pPr>
      <w:hyperlink r:id="rId5">
        <w:r w:rsidDel="00000000" w:rsidR="00000000" w:rsidRPr="00000000">
          <w:rPr>
            <w:color w:val="000099"/>
            <w:sz w:val="20"/>
            <w:highlight w:val="none"/>
            <w:u w:val="single"/>
            <w:rtl w:val="0"/>
          </w:rPr>
          <w:t xml:space="preserve">http://www.anchormobile.net/CSC94932TermsConditions/tabid/1160/Default.aspx</w:t>
        </w:r>
      </w:hyperlink>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b w:val="1"/>
          <w:highlight w:val="none"/>
          <w:rtl w:val="0"/>
        </w:rPr>
        <w:t xml:space="preserve">Individual Call to Actions</w:t>
      </w:r>
      <w:r w:rsidDel="00000000" w:rsidR="00000000" w:rsidRPr="00000000">
        <w:rPr>
          <w:rtl w:val="0"/>
        </w:rPr>
      </w:r>
    </w:p>
    <w:p w:rsidDel="00000000" w:rsidRDefault="00000000" w:rsidR="00000000" w:rsidRPr="00000000" w:rsidP="00000000">
      <w:pPr>
        <w:spacing w:line="276" w:after="0" w:lineRule="auto" w:before="0"/>
        <w:ind w:firstLine="0" w:left="0" w:right="0"/>
        <w:jc w:val="both"/>
      </w:pPr>
      <w:r w:rsidDel="00000000" w:rsidR="00000000" w:rsidRPr="00000000">
        <w:rPr>
          <w:i w:val="1"/>
          <w:highlight w:val="none"/>
          <w:rtl w:val="0"/>
        </w:rPr>
        <w:t xml:space="preserve">If you are advertising through the Internet or print, radio, billboards or television you must display or advise the customer of the following. </w:t>
      </w:r>
    </w:p>
    <w:p w:rsidDel="00000000" w:rsidRDefault="00000000" w:rsidR="00000000" w:rsidRPr="00000000" w:rsidP="00000000">
      <w:pPr>
        <w:spacing w:line="276" w:after="0" w:lineRule="auto" w:before="0"/>
        <w:ind w:firstLine="0" w:left="0" w:right="0"/>
        <w:jc w:val="both"/>
      </w:pPr>
      <w:r w:rsidDel="00000000" w:rsidR="00000000" w:rsidRPr="00000000">
        <w:rPr>
          <w:rtl w:val="0"/>
        </w:rPr>
      </w:r>
    </w:p>
    <w:p w:rsidDel="00000000" w:rsidRDefault="00000000" w:rsidR="00000000" w:rsidRPr="00000000" w:rsidP="00000000">
      <w:pPr>
        <w:numPr>
          <w:ilvl w:val="0"/>
          <w:numId w:val="1"/>
        </w:numPr>
        <w:spacing w:line="276" w:after="0" w:lineRule="auto" w:before="0"/>
        <w:ind w:hanging="360" w:left="720" w:right="0"/>
        <w:jc w:val="both"/>
      </w:pPr>
      <w:r w:rsidDel="00000000" w:rsidR="00000000" w:rsidRPr="00000000">
        <w:rPr>
          <w:highlight w:val="none"/>
          <w:rtl w:val="0"/>
        </w:rPr>
        <w:t xml:space="preserve">Message and Data Rates May Apply. You may opt out at any time by sending STOP to </w:t>
      </w:r>
      <w:r w:rsidDel="00000000" w:rsidR="00000000" w:rsidRPr="00000000">
        <w:rPr>
          <w:color w:val="ff0000"/>
          <w:highlight w:val="none"/>
          <w:rtl w:val="0"/>
        </w:rPr>
        <w:t xml:space="preserve">SC# HERE</w:t>
      </w:r>
      <w:r w:rsidDel="00000000" w:rsidR="00000000" w:rsidRPr="00000000">
        <w:rPr>
          <w:highlight w:val="none"/>
          <w:rtl w:val="0"/>
        </w:rPr>
        <w:t xml:space="preserve">. Supported carriers: AT&amp;T Mobility, Sprint, Nextel, T-Mobile, Verizon Wireless, Alltell, Virgin, US Cellular, Boost and Cellular One. For help or information text HELP to </w:t>
      </w:r>
      <w:r w:rsidDel="00000000" w:rsidR="00000000" w:rsidRPr="00000000">
        <w:rPr>
          <w:color w:val="ff0000"/>
          <w:highlight w:val="none"/>
          <w:rtl w:val="0"/>
        </w:rPr>
        <w:t xml:space="preserve">SC# HERE</w:t>
      </w:r>
    </w:p>
    <w:p w:rsidDel="00000000" w:rsidRDefault="00000000" w:rsidR="00000000" w:rsidRPr="00000000" w:rsidP="00000000">
      <w:pPr>
        <w:numPr>
          <w:ilvl w:val="1"/>
          <w:numId w:val="1"/>
        </w:numPr>
        <w:spacing w:line="276" w:after="0" w:lineRule="auto" w:before="0"/>
        <w:ind w:hanging="360" w:left="1440" w:right="0"/>
        <w:jc w:val="both"/>
      </w:pPr>
      <w:r w:rsidDel="00000000" w:rsidR="00000000" w:rsidRPr="00000000">
        <w:rPr>
          <w:b w:val="1"/>
          <w:highlight w:val="none"/>
          <w:rtl w:val="0"/>
        </w:rPr>
        <w:t xml:space="preserve">On the Internet:</w:t>
      </w:r>
    </w:p>
    <w:p w:rsidDel="00000000" w:rsidRDefault="00000000" w:rsidR="00000000" w:rsidRPr="00000000" w:rsidP="00000000">
      <w:pPr>
        <w:numPr>
          <w:ilvl w:val="2"/>
          <w:numId w:val="1"/>
        </w:numPr>
        <w:ind w:hanging="360" w:left="2160"/>
        <w:jc w:val="both"/>
      </w:pPr>
      <w:r w:rsidDel="00000000" w:rsidR="00000000" w:rsidRPr="00000000">
        <w:rPr>
          <w:highlight w:val="none"/>
          <w:rtl w:val="0"/>
        </w:rPr>
        <w:t xml:space="preserve">must be directly above or directly below ANY text message call to action</w:t>
      </w:r>
    </w:p>
    <w:p w:rsidDel="00000000" w:rsidRDefault="00000000" w:rsidR="00000000" w:rsidRPr="00000000" w:rsidP="00000000">
      <w:pPr>
        <w:numPr>
          <w:ilvl w:val="2"/>
          <w:numId w:val="1"/>
        </w:numPr>
        <w:ind w:hanging="360" w:left="2160"/>
        <w:jc w:val="both"/>
      </w:pPr>
      <w:r w:rsidDel="00000000" w:rsidR="00000000" w:rsidRPr="00000000">
        <w:rPr>
          <w:highlight w:val="none"/>
          <w:rtl w:val="0"/>
        </w:rPr>
        <w:t xml:space="preserve">needs to be 12 point font and </w:t>
      </w:r>
      <w:r w:rsidDel="00000000" w:rsidR="00000000" w:rsidRPr="00000000">
        <w:rPr>
          <w:b w:val="1"/>
          <w:highlight w:val="none"/>
          <w:rtl w:val="0"/>
        </w:rPr>
        <w:t xml:space="preserve">STOP</w:t>
      </w:r>
      <w:r w:rsidDel="00000000" w:rsidR="00000000" w:rsidRPr="00000000">
        <w:rPr>
          <w:highlight w:val="none"/>
          <w:rtl w:val="0"/>
        </w:rPr>
        <w:t xml:space="preserve"> and </w:t>
      </w:r>
      <w:r w:rsidDel="00000000" w:rsidR="00000000" w:rsidRPr="00000000">
        <w:rPr>
          <w:b w:val="1"/>
          <w:highlight w:val="none"/>
          <w:rtl w:val="0"/>
        </w:rPr>
        <w:t xml:space="preserve">HELP</w:t>
      </w:r>
      <w:r w:rsidDel="00000000" w:rsidR="00000000" w:rsidRPr="00000000">
        <w:rPr>
          <w:highlight w:val="none"/>
          <w:rtl w:val="0"/>
        </w:rPr>
        <w:t xml:space="preserve"> should be bold.</w:t>
      </w:r>
      <w:r w:rsidDel="00000000" w:rsidR="00000000" w:rsidRPr="00000000">
        <w:rPr>
          <w:rtl w:val="0"/>
        </w:rPr>
      </w:r>
    </w:p>
    <w:p w:rsidDel="00000000" w:rsidRDefault="00000000" w:rsidR="00000000" w:rsidRPr="00000000" w:rsidP="00000000">
      <w:pPr>
        <w:numPr>
          <w:ilvl w:val="1"/>
          <w:numId w:val="1"/>
        </w:numPr>
        <w:spacing w:line="276" w:after="0" w:lineRule="auto" w:before="0"/>
        <w:ind w:hanging="360" w:left="1440" w:right="0"/>
        <w:jc w:val="both"/>
      </w:pPr>
      <w:r w:rsidDel="00000000" w:rsidR="00000000" w:rsidRPr="00000000">
        <w:rPr>
          <w:b w:val="1"/>
          <w:highlight w:val="none"/>
          <w:rtl w:val="0"/>
        </w:rPr>
        <w:t xml:space="preserve">In print:</w:t>
      </w:r>
      <w:r w:rsidDel="00000000" w:rsidR="00000000" w:rsidRPr="00000000">
        <w:rPr>
          <w:rtl w:val="0"/>
        </w:rPr>
      </w:r>
    </w:p>
    <w:p w:rsidDel="00000000" w:rsidRDefault="00000000" w:rsidR="00000000" w:rsidRPr="00000000" w:rsidP="00000000">
      <w:pPr>
        <w:numPr>
          <w:ilvl w:val="2"/>
          <w:numId w:val="1"/>
        </w:numPr>
        <w:spacing w:line="276" w:after="0" w:lineRule="auto" w:before="0"/>
        <w:ind w:hanging="360" w:left="2160" w:right="0"/>
        <w:jc w:val="both"/>
      </w:pPr>
      <w:r w:rsidDel="00000000" w:rsidR="00000000" w:rsidRPr="00000000">
        <w:rPr>
          <w:highlight w:val="none"/>
          <w:rtl w:val="0"/>
        </w:rPr>
        <w:t xml:space="preserve">must be directly above or directly below ANY text message call to action</w:t>
      </w:r>
    </w:p>
    <w:p w:rsidDel="00000000" w:rsidRDefault="00000000" w:rsidR="00000000" w:rsidRPr="00000000" w:rsidP="00000000">
      <w:pPr>
        <w:numPr>
          <w:ilvl w:val="2"/>
          <w:numId w:val="1"/>
        </w:numPr>
        <w:spacing w:line="276" w:after="0" w:lineRule="auto" w:before="0"/>
        <w:ind w:hanging="360" w:left="2160" w:right="0"/>
        <w:jc w:val="both"/>
      </w:pPr>
      <w:r w:rsidDel="00000000" w:rsidR="00000000" w:rsidRPr="00000000">
        <w:rPr>
          <w:highlight w:val="none"/>
          <w:rtl w:val="0"/>
        </w:rPr>
        <w:t xml:space="preserve">needs to be 12 point font and </w:t>
      </w:r>
      <w:r w:rsidDel="00000000" w:rsidR="00000000" w:rsidRPr="00000000">
        <w:rPr>
          <w:b w:val="1"/>
          <w:highlight w:val="none"/>
          <w:rtl w:val="0"/>
        </w:rPr>
        <w:t xml:space="preserve">STOP </w:t>
      </w:r>
      <w:r w:rsidDel="00000000" w:rsidR="00000000" w:rsidRPr="00000000">
        <w:rPr>
          <w:highlight w:val="none"/>
          <w:rtl w:val="0"/>
        </w:rPr>
        <w:t xml:space="preserve">and </w:t>
      </w:r>
      <w:r w:rsidDel="00000000" w:rsidR="00000000" w:rsidRPr="00000000">
        <w:rPr>
          <w:b w:val="1"/>
          <w:highlight w:val="none"/>
          <w:rtl w:val="0"/>
        </w:rPr>
        <w:t xml:space="preserve">HELP</w:t>
      </w:r>
      <w:r w:rsidDel="00000000" w:rsidR="00000000" w:rsidRPr="00000000">
        <w:rPr>
          <w:highlight w:val="none"/>
          <w:rtl w:val="0"/>
        </w:rPr>
        <w:t xml:space="preserve"> should be bold.</w:t>
      </w:r>
    </w:p>
    <w:p w:rsidDel="00000000" w:rsidRDefault="00000000" w:rsidR="00000000" w:rsidRPr="00000000" w:rsidP="00000000">
      <w:pPr>
        <w:numPr>
          <w:ilvl w:val="1"/>
          <w:numId w:val="1"/>
        </w:numPr>
        <w:spacing w:line="276" w:after="0" w:lineRule="auto" w:before="0"/>
        <w:ind w:hanging="360" w:left="1440" w:right="0"/>
        <w:jc w:val="both"/>
      </w:pPr>
      <w:r w:rsidDel="00000000" w:rsidR="00000000" w:rsidRPr="00000000">
        <w:rPr>
          <w:b w:val="1"/>
          <w:highlight w:val="none"/>
          <w:rtl w:val="0"/>
        </w:rPr>
        <w:t xml:space="preserve">On Radio:</w:t>
      </w:r>
      <w:r w:rsidDel="00000000" w:rsidR="00000000" w:rsidRPr="00000000">
        <w:rPr>
          <w:rtl w:val="0"/>
        </w:rPr>
      </w:r>
    </w:p>
    <w:p w:rsidDel="00000000" w:rsidRDefault="00000000" w:rsidR="00000000" w:rsidRPr="00000000" w:rsidP="00000000">
      <w:pPr>
        <w:numPr>
          <w:ilvl w:val="2"/>
          <w:numId w:val="1"/>
        </w:numPr>
        <w:spacing w:line="276" w:after="0" w:lineRule="auto" w:before="0"/>
        <w:ind w:hanging="360" w:left="2160" w:right="0"/>
        <w:jc w:val="both"/>
      </w:pPr>
      <w:r w:rsidDel="00000000" w:rsidR="00000000" w:rsidRPr="00000000">
        <w:rPr>
          <w:highlight w:val="none"/>
          <w:rtl w:val="0"/>
        </w:rPr>
        <w:t xml:space="preserve">This must be said during advertisement:</w:t>
      </w:r>
    </w:p>
    <w:p w:rsidDel="00000000" w:rsidRDefault="00000000" w:rsidR="00000000" w:rsidRPr="00000000" w:rsidP="00000000">
      <w:pPr>
        <w:numPr>
          <w:ilvl w:val="3"/>
          <w:numId w:val="1"/>
        </w:numPr>
        <w:spacing w:line="276" w:after="0" w:lineRule="auto" w:before="0"/>
        <w:ind w:hanging="360" w:left="2880" w:right="0"/>
        <w:jc w:val="both"/>
      </w:pPr>
      <w:r w:rsidDel="00000000" w:rsidR="00000000" w:rsidRPr="00000000">
        <w:rPr>
          <w:highlight w:val="none"/>
          <w:rtl w:val="0"/>
        </w:rPr>
        <w:t xml:space="preserve">Message and Data Rates May Apply. </w:t>
      </w:r>
    </w:p>
    <w:p w:rsidDel="00000000" w:rsidRDefault="00000000" w:rsidR="00000000" w:rsidRPr="00000000" w:rsidP="00000000">
      <w:pPr>
        <w:numPr>
          <w:ilvl w:val="1"/>
          <w:numId w:val="1"/>
        </w:numPr>
        <w:spacing w:line="276" w:after="0" w:lineRule="auto" w:before="0"/>
        <w:ind w:hanging="360" w:left="1440" w:right="0"/>
        <w:jc w:val="both"/>
      </w:pPr>
      <w:r w:rsidDel="00000000" w:rsidR="00000000" w:rsidRPr="00000000">
        <w:rPr>
          <w:b w:val="1"/>
          <w:highlight w:val="none"/>
          <w:rtl w:val="0"/>
        </w:rPr>
        <w:t xml:space="preserve">On Television</w:t>
      </w:r>
      <w:r w:rsidDel="00000000" w:rsidR="00000000" w:rsidRPr="00000000">
        <w:rPr>
          <w:rtl w:val="0"/>
        </w:rPr>
      </w:r>
    </w:p>
    <w:p w:rsidDel="00000000" w:rsidRDefault="00000000" w:rsidR="00000000" w:rsidRPr="00000000" w:rsidP="00000000">
      <w:pPr>
        <w:numPr>
          <w:ilvl w:val="2"/>
          <w:numId w:val="1"/>
        </w:numPr>
        <w:ind w:hanging="360" w:left="2160"/>
        <w:jc w:val="both"/>
      </w:pPr>
      <w:r w:rsidDel="00000000" w:rsidR="00000000" w:rsidRPr="00000000">
        <w:rPr>
          <w:highlight w:val="none"/>
          <w:rtl w:val="0"/>
        </w:rPr>
        <w:t xml:space="preserve">must be directly above or directly below ANY text message call to action</w:t>
      </w:r>
    </w:p>
    <w:p w:rsidDel="00000000" w:rsidRDefault="00000000" w:rsidR="00000000" w:rsidRPr="00000000" w:rsidP="00000000">
      <w:pPr>
        <w:numPr>
          <w:ilvl w:val="2"/>
          <w:numId w:val="1"/>
        </w:numPr>
        <w:spacing w:line="276" w:after="0" w:lineRule="auto" w:before="0"/>
        <w:ind w:hanging="360" w:left="2160" w:right="0"/>
        <w:jc w:val="both"/>
      </w:pPr>
      <w:r w:rsidDel="00000000" w:rsidR="00000000" w:rsidRPr="00000000">
        <w:rPr>
          <w:highlight w:val="none"/>
          <w:rtl w:val="0"/>
        </w:rPr>
        <w:t xml:space="preserve">needs to be 12 point font and </w:t>
      </w:r>
      <w:r w:rsidDel="00000000" w:rsidR="00000000" w:rsidRPr="00000000">
        <w:rPr>
          <w:b w:val="1"/>
          <w:highlight w:val="none"/>
          <w:rtl w:val="0"/>
        </w:rPr>
        <w:t xml:space="preserve">STOP</w:t>
      </w:r>
      <w:r w:rsidDel="00000000" w:rsidR="00000000" w:rsidRPr="00000000">
        <w:rPr>
          <w:highlight w:val="none"/>
          <w:rtl w:val="0"/>
        </w:rPr>
        <w:t xml:space="preserve"> and </w:t>
      </w:r>
      <w:r w:rsidDel="00000000" w:rsidR="00000000" w:rsidRPr="00000000">
        <w:rPr>
          <w:b w:val="1"/>
          <w:highlight w:val="none"/>
          <w:rtl w:val="0"/>
        </w:rPr>
        <w:t xml:space="preserve">HELP </w:t>
      </w:r>
      <w:r w:rsidDel="00000000" w:rsidR="00000000" w:rsidRPr="00000000">
        <w:rPr>
          <w:highlight w:val="none"/>
          <w:rtl w:val="0"/>
        </w:rPr>
        <w:t xml:space="preserve">should be bold.</w:t>
      </w:r>
    </w:p>
    <w:p w:rsidDel="00000000" w:rsidRDefault="00000000" w:rsidR="00000000" w:rsidRPr="00000000" w:rsidP="00000000">
      <w:pPr>
        <w:numPr>
          <w:ilvl w:val="1"/>
          <w:numId w:val="1"/>
        </w:numPr>
        <w:spacing w:line="276" w:after="0" w:lineRule="auto" w:before="0"/>
        <w:ind w:hanging="360" w:left="1440" w:right="0"/>
        <w:jc w:val="both"/>
      </w:pPr>
      <w:r w:rsidDel="00000000" w:rsidR="00000000" w:rsidRPr="00000000">
        <w:rPr>
          <w:b w:val="1"/>
          <w:highlight w:val="none"/>
          <w:rtl w:val="0"/>
        </w:rPr>
        <w:t xml:space="preserve">On billboards:</w:t>
      </w:r>
    </w:p>
    <w:p w:rsidDel="00000000" w:rsidRDefault="00000000" w:rsidR="00000000" w:rsidRPr="00000000" w:rsidP="00000000">
      <w:pPr>
        <w:numPr>
          <w:ilvl w:val="2"/>
          <w:numId w:val="1"/>
        </w:numPr>
        <w:spacing w:line="276" w:after="0" w:lineRule="auto" w:before="0"/>
        <w:ind w:hanging="360" w:left="2160" w:right="0"/>
        <w:jc w:val="both"/>
      </w:pPr>
      <w:r w:rsidDel="00000000" w:rsidR="00000000" w:rsidRPr="00000000">
        <w:rPr>
          <w:highlight w:val="none"/>
          <w:rtl w:val="0"/>
        </w:rPr>
        <w:t xml:space="preserve">must be directly above or directly below ANY text message call to action</w:t>
      </w:r>
    </w:p>
    <w:p w:rsidDel="00000000" w:rsidRDefault="00000000" w:rsidR="00000000" w:rsidRPr="00000000" w:rsidP="00000000">
      <w:pPr>
        <w:spacing w:line="276" w:after="0" w:lineRule="auto" w:before="0"/>
        <w:ind w:right="0"/>
        <w:jc w:val="both"/>
      </w:pPr>
      <w:r w:rsidDel="00000000" w:rsidR="00000000" w:rsidRPr="00000000">
        <w:rPr>
          <w:rtl w:val="0"/>
        </w:rPr>
      </w:r>
    </w:p>
    <w:p w:rsidDel="00000000" w:rsidRDefault="00000000" w:rsidR="00000000" w:rsidRPr="00000000" w:rsidP="00000000">
      <w:pPr>
        <w:spacing w:line="276" w:after="0" w:lineRule="auto" w:before="0"/>
        <w:ind w:right="0"/>
        <w:jc w:val="both"/>
      </w:pPr>
      <w:r w:rsidDel="00000000" w:rsidR="00000000" w:rsidRPr="00000000">
        <w:rPr>
          <w:b w:val="1"/>
          <w:color w:val="222222"/>
          <w:highlight w:val="white"/>
          <w:rtl w:val="0"/>
        </w:rPr>
        <w:t xml:space="preserve">EMERGENCY PROGRAM DISCLAIMER</w:t>
      </w:r>
    </w:p>
    <w:p w:rsidDel="00000000" w:rsidRDefault="00000000" w:rsidR="00000000" w:rsidRPr="00000000" w:rsidP="00000000">
      <w:pPr>
        <w:numPr>
          <w:ilvl w:val="0"/>
          <w:numId w:val="4"/>
        </w:numPr>
        <w:spacing w:line="276" w:after="0" w:lineRule="auto" w:before="0"/>
        <w:ind w:hanging="360" w:left="720" w:right="0"/>
        <w:jc w:val="both"/>
      </w:pPr>
      <w:r w:rsidDel="00000000" w:rsidR="00000000" w:rsidRPr="00000000">
        <w:rPr>
          <w:color w:val="222222"/>
          <w:highlight w:val="white"/>
          <w:rtl w:val="0"/>
        </w:rPr>
        <w:t xml:space="preserve">A specific disclaimer is now required for emergency programs.  The term “emergency” applies to all time-sensitive alerts in which an end user is notified of “emergency” situations or the end user sends a text to report an issue or a crisis.  Examples of this include crisis chat, reporting an incident, and campus emergency alerts.</w:t>
      </w:r>
    </w:p>
    <w:p w:rsidDel="00000000" w:rsidRDefault="00000000" w:rsidR="00000000" w:rsidRPr="00000000" w:rsidP="00000000">
      <w:pPr>
        <w:spacing w:line="276" w:after="0" w:lineRule="auto" w:before="0"/>
        <w:ind w:right="0"/>
        <w:jc w:val="both"/>
      </w:pPr>
      <w:r w:rsidDel="00000000" w:rsidR="00000000" w:rsidRPr="00000000">
        <w:rPr>
          <w:rtl w:val="0"/>
        </w:rPr>
      </w:r>
    </w:p>
    <w:p w:rsidDel="00000000" w:rsidRDefault="00000000" w:rsidR="00000000" w:rsidRPr="00000000" w:rsidP="00000000">
      <w:pPr>
        <w:spacing w:line="276" w:after="0" w:lineRule="auto" w:before="0"/>
        <w:ind w:right="0"/>
        <w:jc w:val="both"/>
      </w:pPr>
      <w:r w:rsidDel="00000000" w:rsidR="00000000" w:rsidRPr="00000000">
        <w:rPr>
          <w:color w:val="222222"/>
          <w:highlight w:val="white"/>
          <w:rtl w:val="0"/>
        </w:rPr>
        <w:t xml:space="preserve">The following disclaimer is required in the advertising for these types of programs:</w:t>
      </w:r>
    </w:p>
    <w:p w:rsidDel="00000000" w:rsidRDefault="00000000" w:rsidR="00000000" w:rsidRPr="00000000" w:rsidP="00000000">
      <w:pPr>
        <w:numPr>
          <w:ilvl w:val="0"/>
          <w:numId w:val="3"/>
        </w:numPr>
        <w:ind w:hanging="360" w:left="720"/>
        <w:jc w:val="both"/>
      </w:pPr>
      <w:r w:rsidDel="00000000" w:rsidR="00000000" w:rsidRPr="00000000">
        <w:rPr>
          <w:i w:val="1"/>
          <w:color w:val="222222"/>
          <w:highlight w:val="white"/>
          <w:rtl w:val="0"/>
        </w:rPr>
        <w:t xml:space="preserve">“Alerts sent via SMS may not be delivered to you if your phone is not in range of a transmission site, or if sufficient network capacity is not available at a particular time. Even within a coverage area, factors beyond the control of your wireless carrier may interfere with message delivery, including the customer's equipment, terrain, proximity to buildings, foliage, and weather. You acknowledge that urgent alerts may not be timely received and that your wireless carrier does not guarantee that alerts will be delivered.”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color w:val="222222"/>
          <w:highlight w:val="white"/>
          <w:rtl w:val="0"/>
        </w:rPr>
        <w:t xml:space="preserve">* This is not a legal document and Anchor Mobile are not attorneys.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color w:val="222222"/>
          <w:highlight w:val="white"/>
          <w:rtl w:val="0"/>
        </w:rPr>
        <w:t xml:space="preserve">Please reference FCC TCPA Law here for updates </w:t>
      </w:r>
      <w:hyperlink r:id="rId6">
        <w:r w:rsidDel="00000000" w:rsidR="00000000" w:rsidRPr="00000000">
          <w:rPr>
            <w:color w:val="1155cc"/>
            <w:highlight w:val="none"/>
            <w:u w:val="single"/>
            <w:rtl w:val="0"/>
          </w:rPr>
          <w:t xml:space="preserve">http://transition.fcc.gov/cgb/policy/TCPA-Rules.pdf</w:t>
        </w:r>
      </w:hyperlink>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Please reference Mobile Marketing Association SMS Best Practices here for updates</w:t>
      </w:r>
    </w:p>
    <w:p w:rsidDel="00000000" w:rsidRDefault="00000000" w:rsidR="00000000" w:rsidRPr="00000000" w:rsidP="00000000">
      <w:pPr/>
      <w:hyperlink r:id="rId7">
        <w:r w:rsidDel="00000000" w:rsidR="00000000" w:rsidRPr="00000000">
          <w:rPr>
            <w:color w:val="1155cc"/>
            <w:highlight w:val="none"/>
            <w:u w:val="single"/>
            <w:rtl w:val="0"/>
          </w:rPr>
          <w:t xml:space="preserve">http://www.mmaglobal.com/bestpractice</w:t>
        </w:r>
      </w:hyperlink>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Please reference your aggregator and/or individual mobile carriers for carrier level compliance changes and regulations</w:t>
      </w:r>
    </w:p>
    <w:p w:rsidDel="00000000" w:rsidRDefault="00000000" w:rsidR="00000000" w:rsidRPr="00000000" w:rsidP="00000000">
      <w:pPr/>
      <w:r w:rsidDel="00000000" w:rsidR="00000000" w:rsidRPr="00000000">
        <w:rPr>
          <w:rtl w:val="0"/>
        </w:rPr>
      </w:r>
    </w:p>
    <w:sectPr>
      <w:headerReference w:type="default" r:id="rId8"/>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spacing w:line="276" w:after="0" w:lineRule="auto" w:before="0"/>
      <w:ind w:firstLine="0" w:left="0" w:right="0"/>
      <w:jc w:val="center"/>
    </w:pPr>
    <w:r w:rsidDel="00000000" w:rsidR="00000000" w:rsidRPr="00000000">
      <w:drawing>
        <wp:inline>
          <wp:extent cx="2743200" cy="781050"/>
          <wp:docPr name="image00.jpg" id="1"/>
          <a:graphic>
            <a:graphicData uri="http://schemas.openxmlformats.org/drawingml/2006/picture">
              <pic:pic>
                <pic:nvPicPr>
                  <pic:cNvPr name="image00.jpg" id="0"/>
                  <pic:cNvPicPr preferRelativeResize="0"/>
                </pic:nvPicPr>
                <pic:blipFill>
                  <a:blip r:embed="rId1"/>
                  <a:stretch>
                    <a:fillRect/>
                  </a:stretch>
                </pic:blipFill>
                <pic:spPr>
                  <a:xfrm>
                    <a:ext cx="2743200" cy="781050"/>
                  </a:xfrm>
                  <a:prstGeom prst="rect"/>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2"/>
        <w:highlight w:val="none"/>
        <w:u w:val="none"/>
        <w:vertAlign w:val="baseline"/>
      </w:rPr>
    </w:lvl>
  </w:abstractNum>
  <w:abstractNum w:abstractNumId="2">
    <w:lvl w:ilvl="0">
      <w:start w:val="1"/>
      <w:numFmt w:val="bullet"/>
      <w:lvlText w:val="●"/>
      <w:pPr>
        <w:ind w:firstLine="360" w:left="72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2"/>
        <w:highlight w:val="none"/>
        <w:u w:val="none"/>
        <w:vertAlign w:val="baseline"/>
      </w:rPr>
    </w:lvl>
  </w:abstractNum>
  <w:abstractNum w:abstractNumId="3">
    <w:lvl w:ilvl="0">
      <w:start w:val="1"/>
      <w:numFmt w:val="bullet"/>
      <w:lvlText w:val="●"/>
      <w:pPr>
        <w:ind w:firstLine="360" w:left="720"/>
      </w:pPr>
      <w:rPr>
        <w:rFonts w:eastAsia="Arial" w:ascii="Arial" w:hAnsi="Arial" w:cs="Arial"/>
        <w:b w:val="0"/>
        <w:i w:val="1"/>
        <w:smallCaps w:val="0"/>
        <w:strike w:val="0"/>
        <w:color w:val="222222"/>
        <w:sz w:val="22"/>
        <w:highlight w:val="white"/>
        <w:u w:val="none"/>
        <w:vertAlign w:val="baseline"/>
      </w:rPr>
    </w:lvl>
    <w:lvl w:ilvl="1">
      <w:start w:val="1"/>
      <w:numFmt w:val="bullet"/>
      <w:lvlText w:val="○"/>
      <w:pPr>
        <w:ind w:firstLine="1080" w:left="1440"/>
      </w:pPr>
      <w:rPr>
        <w:rFonts w:eastAsia="Arial" w:ascii="Arial" w:hAnsi="Arial" w:cs="Arial"/>
        <w:b w:val="0"/>
        <w:i w:val="1"/>
        <w:smallCaps w:val="0"/>
        <w:strike w:val="0"/>
        <w:color w:val="222222"/>
        <w:sz w:val="22"/>
        <w:highlight w:val="white"/>
        <w:u w:val="none"/>
        <w:vertAlign w:val="baseline"/>
      </w:rPr>
    </w:lvl>
    <w:lvl w:ilvl="2">
      <w:start w:val="1"/>
      <w:numFmt w:val="bullet"/>
      <w:lvlText w:val="■"/>
      <w:pPr>
        <w:ind w:firstLine="1800" w:left="2160"/>
      </w:pPr>
      <w:rPr>
        <w:rFonts w:eastAsia="Arial" w:ascii="Arial" w:hAnsi="Arial" w:cs="Arial"/>
        <w:b w:val="0"/>
        <w:i w:val="1"/>
        <w:smallCaps w:val="0"/>
        <w:strike w:val="0"/>
        <w:color w:val="222222"/>
        <w:sz w:val="22"/>
        <w:highlight w:val="white"/>
        <w:u w:val="none"/>
        <w:vertAlign w:val="baseline"/>
      </w:rPr>
    </w:lvl>
    <w:lvl w:ilvl="3">
      <w:start w:val="1"/>
      <w:numFmt w:val="bullet"/>
      <w:lvlText w:val="●"/>
      <w:pPr>
        <w:ind w:firstLine="2520" w:left="2880"/>
      </w:pPr>
      <w:rPr>
        <w:rFonts w:eastAsia="Arial" w:ascii="Arial" w:hAnsi="Arial" w:cs="Arial"/>
        <w:b w:val="0"/>
        <w:i w:val="1"/>
        <w:smallCaps w:val="0"/>
        <w:strike w:val="0"/>
        <w:color w:val="222222"/>
        <w:sz w:val="22"/>
        <w:highlight w:val="white"/>
        <w:u w:val="none"/>
        <w:vertAlign w:val="baseline"/>
      </w:rPr>
    </w:lvl>
    <w:lvl w:ilvl="4">
      <w:start w:val="1"/>
      <w:numFmt w:val="bullet"/>
      <w:lvlText w:val="○"/>
      <w:pPr>
        <w:ind w:firstLine="3240" w:left="3600"/>
      </w:pPr>
      <w:rPr>
        <w:rFonts w:eastAsia="Arial" w:ascii="Arial" w:hAnsi="Arial" w:cs="Arial"/>
        <w:b w:val="0"/>
        <w:i w:val="1"/>
        <w:smallCaps w:val="0"/>
        <w:strike w:val="0"/>
        <w:color w:val="222222"/>
        <w:sz w:val="22"/>
        <w:highlight w:val="white"/>
        <w:u w:val="none"/>
        <w:vertAlign w:val="baseline"/>
      </w:rPr>
    </w:lvl>
    <w:lvl w:ilvl="5">
      <w:start w:val="1"/>
      <w:numFmt w:val="bullet"/>
      <w:lvlText w:val="■"/>
      <w:pPr>
        <w:ind w:firstLine="3960" w:left="4320"/>
      </w:pPr>
      <w:rPr>
        <w:rFonts w:eastAsia="Arial" w:ascii="Arial" w:hAnsi="Arial" w:cs="Arial"/>
        <w:b w:val="0"/>
        <w:i w:val="1"/>
        <w:smallCaps w:val="0"/>
        <w:strike w:val="0"/>
        <w:color w:val="222222"/>
        <w:sz w:val="22"/>
        <w:highlight w:val="white"/>
        <w:u w:val="none"/>
        <w:vertAlign w:val="baseline"/>
      </w:rPr>
    </w:lvl>
    <w:lvl w:ilvl="6">
      <w:start w:val="1"/>
      <w:numFmt w:val="bullet"/>
      <w:lvlText w:val="●"/>
      <w:pPr>
        <w:ind w:firstLine="4680" w:left="5040"/>
      </w:pPr>
      <w:rPr>
        <w:rFonts w:eastAsia="Arial" w:ascii="Arial" w:hAnsi="Arial" w:cs="Arial"/>
        <w:b w:val="0"/>
        <w:i w:val="1"/>
        <w:smallCaps w:val="0"/>
        <w:strike w:val="0"/>
        <w:color w:val="222222"/>
        <w:sz w:val="22"/>
        <w:highlight w:val="white"/>
        <w:u w:val="none"/>
        <w:vertAlign w:val="baseline"/>
      </w:rPr>
    </w:lvl>
    <w:lvl w:ilvl="7">
      <w:start w:val="1"/>
      <w:numFmt w:val="bullet"/>
      <w:lvlText w:val="○"/>
      <w:pPr>
        <w:ind w:firstLine="5400" w:left="5760"/>
      </w:pPr>
      <w:rPr>
        <w:rFonts w:eastAsia="Arial" w:ascii="Arial" w:hAnsi="Arial" w:cs="Arial"/>
        <w:b w:val="0"/>
        <w:i w:val="1"/>
        <w:smallCaps w:val="0"/>
        <w:strike w:val="0"/>
        <w:color w:val="222222"/>
        <w:sz w:val="22"/>
        <w:highlight w:val="white"/>
        <w:u w:val="none"/>
        <w:vertAlign w:val="baseline"/>
      </w:rPr>
    </w:lvl>
    <w:lvl w:ilvl="8">
      <w:start w:val="1"/>
      <w:numFmt w:val="bullet"/>
      <w:lvlText w:val="■"/>
      <w:pPr>
        <w:ind w:firstLine="6120" w:left="6480"/>
      </w:pPr>
      <w:rPr>
        <w:rFonts w:eastAsia="Arial" w:ascii="Arial" w:hAnsi="Arial" w:cs="Arial"/>
        <w:b w:val="0"/>
        <w:i w:val="1"/>
        <w:smallCaps w:val="0"/>
        <w:strike w:val="0"/>
        <w:color w:val="222222"/>
        <w:sz w:val="22"/>
        <w:highlight w:val="white"/>
        <w:u w:val="none"/>
        <w:vertAlign w:val="baseline"/>
      </w:rPr>
    </w:lvl>
  </w:abstractNum>
  <w:abstractNum w:abstractNumId="4">
    <w:lvl w:ilvl="0">
      <w:start w:val="1"/>
      <w:numFmt w:val="bullet"/>
      <w:lvlText w:val="●"/>
      <w:pPr>
        <w:ind w:firstLine="360" w:left="720"/>
      </w:pPr>
      <w:rPr>
        <w:rFonts w:eastAsia="Arial" w:ascii="Arial" w:hAnsi="Arial" w:cs="Arial"/>
        <w:b w:val="0"/>
        <w:i w:val="0"/>
        <w:smallCaps w:val="0"/>
        <w:strike w:val="0"/>
        <w:color w:val="222222"/>
        <w:sz w:val="22"/>
        <w:highlight w:val="white"/>
        <w:u w:val="none"/>
        <w:vertAlign w:val="baseline"/>
      </w:rPr>
    </w:lvl>
    <w:lvl w:ilvl="1">
      <w:start w:val="1"/>
      <w:numFmt w:val="bullet"/>
      <w:lvlText w:val="○"/>
      <w:pPr>
        <w:ind w:firstLine="1080" w:left="1440"/>
      </w:pPr>
      <w:rPr>
        <w:rFonts w:eastAsia="Arial" w:ascii="Arial" w:hAnsi="Arial" w:cs="Arial"/>
        <w:b w:val="0"/>
        <w:i w:val="0"/>
        <w:smallCaps w:val="0"/>
        <w:strike w:val="0"/>
        <w:color w:val="222222"/>
        <w:sz w:val="22"/>
        <w:highlight w:val="white"/>
        <w:u w:val="none"/>
        <w:vertAlign w:val="baseline"/>
      </w:rPr>
    </w:lvl>
    <w:lvl w:ilvl="2">
      <w:start w:val="1"/>
      <w:numFmt w:val="bullet"/>
      <w:lvlText w:val="■"/>
      <w:pPr>
        <w:ind w:firstLine="1800" w:left="2160"/>
      </w:pPr>
      <w:rPr>
        <w:rFonts w:eastAsia="Arial" w:ascii="Arial" w:hAnsi="Arial" w:cs="Arial"/>
        <w:b w:val="0"/>
        <w:i w:val="0"/>
        <w:smallCaps w:val="0"/>
        <w:strike w:val="0"/>
        <w:color w:val="222222"/>
        <w:sz w:val="22"/>
        <w:highlight w:val="white"/>
        <w:u w:val="none"/>
        <w:vertAlign w:val="baseline"/>
      </w:rPr>
    </w:lvl>
    <w:lvl w:ilvl="3">
      <w:start w:val="1"/>
      <w:numFmt w:val="bullet"/>
      <w:lvlText w:val="●"/>
      <w:pPr>
        <w:ind w:firstLine="2520" w:left="2880"/>
      </w:pPr>
      <w:rPr>
        <w:rFonts w:eastAsia="Arial" w:ascii="Arial" w:hAnsi="Arial" w:cs="Arial"/>
        <w:b w:val="0"/>
        <w:i w:val="0"/>
        <w:smallCaps w:val="0"/>
        <w:strike w:val="0"/>
        <w:color w:val="222222"/>
        <w:sz w:val="22"/>
        <w:highlight w:val="white"/>
        <w:u w:val="none"/>
        <w:vertAlign w:val="baseline"/>
      </w:rPr>
    </w:lvl>
    <w:lvl w:ilvl="4">
      <w:start w:val="1"/>
      <w:numFmt w:val="bullet"/>
      <w:lvlText w:val="○"/>
      <w:pPr>
        <w:ind w:firstLine="3240" w:left="3600"/>
      </w:pPr>
      <w:rPr>
        <w:rFonts w:eastAsia="Arial" w:ascii="Arial" w:hAnsi="Arial" w:cs="Arial"/>
        <w:b w:val="0"/>
        <w:i w:val="0"/>
        <w:smallCaps w:val="0"/>
        <w:strike w:val="0"/>
        <w:color w:val="222222"/>
        <w:sz w:val="22"/>
        <w:highlight w:val="white"/>
        <w:u w:val="none"/>
        <w:vertAlign w:val="baseline"/>
      </w:rPr>
    </w:lvl>
    <w:lvl w:ilvl="5">
      <w:start w:val="1"/>
      <w:numFmt w:val="bullet"/>
      <w:lvlText w:val="■"/>
      <w:pPr>
        <w:ind w:firstLine="3960" w:left="4320"/>
      </w:pPr>
      <w:rPr>
        <w:rFonts w:eastAsia="Arial" w:ascii="Arial" w:hAnsi="Arial" w:cs="Arial"/>
        <w:b w:val="0"/>
        <w:i w:val="0"/>
        <w:smallCaps w:val="0"/>
        <w:strike w:val="0"/>
        <w:color w:val="222222"/>
        <w:sz w:val="22"/>
        <w:highlight w:val="white"/>
        <w:u w:val="none"/>
        <w:vertAlign w:val="baseline"/>
      </w:rPr>
    </w:lvl>
    <w:lvl w:ilvl="6">
      <w:start w:val="1"/>
      <w:numFmt w:val="bullet"/>
      <w:lvlText w:val="●"/>
      <w:pPr>
        <w:ind w:firstLine="4680" w:left="5040"/>
      </w:pPr>
      <w:rPr>
        <w:rFonts w:eastAsia="Arial" w:ascii="Arial" w:hAnsi="Arial" w:cs="Arial"/>
        <w:b w:val="0"/>
        <w:i w:val="0"/>
        <w:smallCaps w:val="0"/>
        <w:strike w:val="0"/>
        <w:color w:val="222222"/>
        <w:sz w:val="22"/>
        <w:highlight w:val="white"/>
        <w:u w:val="none"/>
        <w:vertAlign w:val="baseline"/>
      </w:rPr>
    </w:lvl>
    <w:lvl w:ilvl="7">
      <w:start w:val="1"/>
      <w:numFmt w:val="bullet"/>
      <w:lvlText w:val="○"/>
      <w:pPr>
        <w:ind w:firstLine="5400" w:left="5760"/>
      </w:pPr>
      <w:rPr>
        <w:rFonts w:eastAsia="Arial" w:ascii="Arial" w:hAnsi="Arial" w:cs="Arial"/>
        <w:b w:val="0"/>
        <w:i w:val="0"/>
        <w:smallCaps w:val="0"/>
        <w:strike w:val="0"/>
        <w:color w:val="222222"/>
        <w:sz w:val="22"/>
        <w:highlight w:val="white"/>
        <w:u w:val="none"/>
        <w:vertAlign w:val="baseline"/>
      </w:rPr>
    </w:lvl>
    <w:lvl w:ilvl="8">
      <w:start w:val="1"/>
      <w:numFmt w:val="bullet"/>
      <w:lvlText w:val="■"/>
      <w:pPr>
        <w:ind w:firstLine="6120" w:left="6480"/>
      </w:pPr>
      <w:rPr>
        <w:rFonts w:eastAsia="Arial" w:ascii="Arial" w:hAnsi="Arial" w:cs="Arial"/>
        <w:b w:val="0"/>
        <w:i w:val="0"/>
        <w:smallCaps w:val="0"/>
        <w:strike w:val="0"/>
        <w:color w:val="222222"/>
        <w:sz w:val="22"/>
        <w:highlight w:val="white"/>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http://transition.fcc.gov/cgb/policy/TCPA-Rules.pdf"/><Relationship Id="rId5" Type="http://schemas.openxmlformats.org/officeDocument/2006/relationships/hyperlink" TargetMode="External" Target="http://www.anchormobile.net/CSC94932TermsConditions/tabid/1160/Default.aspx"/><Relationship Id="rId8" Type="http://schemas.openxmlformats.org/officeDocument/2006/relationships/header" Target="header1.xml"/><Relationship Id="rId7" Type="http://schemas.openxmlformats.org/officeDocument/2006/relationships/hyperlink" TargetMode="External" Target="http://www.mmaglobal.com/bestpractice"/></Relationships>
</file>

<file path=word/_rels/header1.xml.rels><?xml version="1.0" encoding="UTF-8" standalone="yes"?><Relationships xmlns="http://schemas.openxmlformats.org/package/2006/relationships"><Relationship Id="rId1" Type="http://schemas.openxmlformats.org/officeDocument/2006/relationships/image" Target="media/image00.jpg"/></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Compliance.docx</dc:title>
</cp:coreProperties>
</file>